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420A2D" w14:textId="6378FBA4" w:rsidR="00E179C1" w:rsidRDefault="00E179C1" w:rsidP="00E179C1">
      <w:pPr>
        <w:spacing w:line="480" w:lineRule="auto"/>
        <w:jc w:val="center"/>
        <w:rPr>
          <w:rFonts w:ascii="Times New Roman" w:hAnsi="Times New Roman" w:cs="Times New Roman"/>
          <w:sz w:val="24"/>
          <w:szCs w:val="24"/>
        </w:rPr>
      </w:pPr>
    </w:p>
    <w:p w14:paraId="335AAFD3" w14:textId="3918050C" w:rsidR="00BB6120" w:rsidRDefault="00BB6120" w:rsidP="00E179C1">
      <w:pPr>
        <w:spacing w:line="480" w:lineRule="auto"/>
        <w:jc w:val="center"/>
        <w:rPr>
          <w:rFonts w:ascii="Times New Roman" w:hAnsi="Times New Roman" w:cs="Times New Roman"/>
          <w:sz w:val="24"/>
          <w:szCs w:val="24"/>
        </w:rPr>
      </w:pPr>
    </w:p>
    <w:p w14:paraId="69867D91" w14:textId="77777777" w:rsidR="00BB6120" w:rsidRPr="0080438A" w:rsidRDefault="00BB6120" w:rsidP="00E179C1">
      <w:pPr>
        <w:spacing w:line="480" w:lineRule="auto"/>
        <w:jc w:val="center"/>
        <w:rPr>
          <w:rFonts w:ascii="Times New Roman" w:hAnsi="Times New Roman" w:cs="Times New Roman"/>
          <w:sz w:val="24"/>
          <w:szCs w:val="24"/>
        </w:rPr>
      </w:pPr>
    </w:p>
    <w:p w14:paraId="188D50BE" w14:textId="77777777" w:rsidR="00E179C1" w:rsidRPr="0080438A" w:rsidRDefault="00E179C1" w:rsidP="00E179C1">
      <w:pPr>
        <w:spacing w:line="480" w:lineRule="auto"/>
        <w:jc w:val="center"/>
        <w:rPr>
          <w:rFonts w:ascii="Times New Roman" w:hAnsi="Times New Roman" w:cs="Times New Roman"/>
          <w:sz w:val="24"/>
          <w:szCs w:val="24"/>
        </w:rPr>
      </w:pPr>
    </w:p>
    <w:p w14:paraId="005F4E30" w14:textId="77777777" w:rsidR="00E179C1" w:rsidRPr="0080438A" w:rsidRDefault="00E179C1" w:rsidP="00E179C1">
      <w:pPr>
        <w:spacing w:line="480" w:lineRule="auto"/>
        <w:jc w:val="center"/>
        <w:rPr>
          <w:rFonts w:ascii="Times New Roman" w:hAnsi="Times New Roman" w:cs="Times New Roman"/>
          <w:sz w:val="24"/>
          <w:szCs w:val="24"/>
        </w:rPr>
      </w:pPr>
    </w:p>
    <w:p w14:paraId="63472DA6" w14:textId="77777777" w:rsidR="00732F99" w:rsidRPr="0080438A" w:rsidRDefault="00732F99" w:rsidP="00E179C1">
      <w:pPr>
        <w:spacing w:line="480" w:lineRule="auto"/>
        <w:jc w:val="center"/>
        <w:rPr>
          <w:rFonts w:ascii="Times New Roman" w:hAnsi="Times New Roman" w:cs="Times New Roman"/>
          <w:sz w:val="24"/>
          <w:szCs w:val="24"/>
        </w:rPr>
      </w:pPr>
    </w:p>
    <w:p w14:paraId="3CAF2B93" w14:textId="77777777" w:rsidR="00E179C1" w:rsidRPr="0080438A" w:rsidRDefault="00E179C1" w:rsidP="00E179C1">
      <w:pPr>
        <w:spacing w:line="480" w:lineRule="auto"/>
        <w:jc w:val="center"/>
        <w:rPr>
          <w:rFonts w:ascii="Times New Roman" w:hAnsi="Times New Roman" w:cs="Times New Roman"/>
          <w:sz w:val="24"/>
          <w:szCs w:val="24"/>
        </w:rPr>
      </w:pPr>
    </w:p>
    <w:p w14:paraId="27276857" w14:textId="77777777" w:rsidR="00E179C1" w:rsidRPr="0080438A" w:rsidRDefault="00E179C1" w:rsidP="00E179C1">
      <w:pPr>
        <w:spacing w:line="480" w:lineRule="auto"/>
        <w:jc w:val="center"/>
        <w:rPr>
          <w:rFonts w:ascii="Times New Roman" w:hAnsi="Times New Roman" w:cs="Times New Roman"/>
          <w:sz w:val="24"/>
          <w:szCs w:val="24"/>
        </w:rPr>
      </w:pPr>
    </w:p>
    <w:p w14:paraId="2DDAA574" w14:textId="09AB5727" w:rsidR="00E179C1" w:rsidRPr="0080438A" w:rsidRDefault="00344EF1" w:rsidP="00E179C1">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Midterm Exam </w:t>
      </w:r>
    </w:p>
    <w:p w14:paraId="4CD9CC4A" w14:textId="77777777" w:rsidR="0080438A" w:rsidRPr="0080438A" w:rsidRDefault="0080438A" w:rsidP="0080438A">
      <w:pPr>
        <w:spacing w:line="480" w:lineRule="auto"/>
        <w:jc w:val="center"/>
        <w:rPr>
          <w:rFonts w:ascii="Times New Roman" w:hAnsi="Times New Roman" w:cs="Times New Roman"/>
          <w:sz w:val="24"/>
          <w:szCs w:val="24"/>
        </w:rPr>
      </w:pPr>
      <w:r w:rsidRPr="0080438A">
        <w:rPr>
          <w:rFonts w:ascii="Times New Roman" w:hAnsi="Times New Roman" w:cs="Times New Roman"/>
          <w:sz w:val="24"/>
          <w:szCs w:val="24"/>
        </w:rPr>
        <w:t>Anthony Osuji</w:t>
      </w:r>
    </w:p>
    <w:p w14:paraId="5A7F1EDA" w14:textId="77777777" w:rsidR="0080438A" w:rsidRPr="0080438A" w:rsidRDefault="0080438A" w:rsidP="0080438A">
      <w:pPr>
        <w:spacing w:line="480" w:lineRule="auto"/>
        <w:jc w:val="center"/>
        <w:rPr>
          <w:rFonts w:ascii="Times New Roman" w:hAnsi="Times New Roman" w:cs="Times New Roman"/>
          <w:sz w:val="24"/>
          <w:szCs w:val="24"/>
        </w:rPr>
      </w:pPr>
      <w:r w:rsidRPr="0080438A">
        <w:rPr>
          <w:rFonts w:ascii="Times New Roman" w:hAnsi="Times New Roman" w:cs="Times New Roman"/>
          <w:sz w:val="24"/>
          <w:szCs w:val="24"/>
        </w:rPr>
        <w:t>American Sentinel University</w:t>
      </w:r>
    </w:p>
    <w:p w14:paraId="75253C20" w14:textId="77777777" w:rsidR="00E179C1" w:rsidRPr="0080438A" w:rsidRDefault="00E179C1" w:rsidP="00E179C1">
      <w:pPr>
        <w:spacing w:line="480" w:lineRule="auto"/>
        <w:jc w:val="center"/>
        <w:rPr>
          <w:rFonts w:ascii="Times New Roman" w:hAnsi="Times New Roman" w:cs="Times New Roman"/>
          <w:sz w:val="24"/>
          <w:szCs w:val="24"/>
        </w:rPr>
      </w:pPr>
    </w:p>
    <w:p w14:paraId="3080949B" w14:textId="77777777" w:rsidR="00E179C1" w:rsidRPr="0080438A" w:rsidRDefault="00E179C1" w:rsidP="00E179C1">
      <w:pPr>
        <w:spacing w:line="480" w:lineRule="auto"/>
        <w:jc w:val="center"/>
        <w:rPr>
          <w:rFonts w:ascii="Times New Roman" w:hAnsi="Times New Roman" w:cs="Times New Roman"/>
          <w:sz w:val="24"/>
          <w:szCs w:val="24"/>
        </w:rPr>
      </w:pPr>
    </w:p>
    <w:p w14:paraId="4FD1D73F" w14:textId="77777777" w:rsidR="00E179C1" w:rsidRPr="0080438A" w:rsidRDefault="00E179C1" w:rsidP="00E179C1">
      <w:pPr>
        <w:spacing w:line="480" w:lineRule="auto"/>
        <w:jc w:val="center"/>
        <w:rPr>
          <w:rFonts w:ascii="Times New Roman" w:hAnsi="Times New Roman" w:cs="Times New Roman"/>
          <w:sz w:val="24"/>
          <w:szCs w:val="24"/>
        </w:rPr>
      </w:pPr>
    </w:p>
    <w:p w14:paraId="403B7D07" w14:textId="77777777" w:rsidR="00E179C1" w:rsidRPr="0080438A" w:rsidRDefault="00E179C1" w:rsidP="00E179C1">
      <w:pPr>
        <w:spacing w:line="480" w:lineRule="auto"/>
        <w:jc w:val="center"/>
        <w:rPr>
          <w:rFonts w:ascii="Times New Roman" w:hAnsi="Times New Roman" w:cs="Times New Roman"/>
          <w:sz w:val="24"/>
          <w:szCs w:val="24"/>
        </w:rPr>
      </w:pPr>
    </w:p>
    <w:p w14:paraId="45385A06" w14:textId="77777777" w:rsidR="00E179C1" w:rsidRPr="0080438A" w:rsidRDefault="00E179C1" w:rsidP="00E179C1">
      <w:pPr>
        <w:spacing w:line="480" w:lineRule="auto"/>
        <w:jc w:val="center"/>
        <w:rPr>
          <w:rFonts w:ascii="Times New Roman" w:hAnsi="Times New Roman" w:cs="Times New Roman"/>
          <w:sz w:val="24"/>
          <w:szCs w:val="24"/>
        </w:rPr>
      </w:pPr>
    </w:p>
    <w:p w14:paraId="1DE261E9" w14:textId="77777777" w:rsidR="00E179C1" w:rsidRPr="0080438A" w:rsidRDefault="00E179C1" w:rsidP="00E179C1">
      <w:pPr>
        <w:spacing w:line="480" w:lineRule="auto"/>
        <w:jc w:val="center"/>
        <w:rPr>
          <w:rFonts w:ascii="Times New Roman" w:hAnsi="Times New Roman" w:cs="Times New Roman"/>
          <w:sz w:val="24"/>
          <w:szCs w:val="24"/>
        </w:rPr>
      </w:pPr>
    </w:p>
    <w:p w14:paraId="10D2F74C" w14:textId="77777777" w:rsidR="00E179C1" w:rsidRPr="0080438A" w:rsidRDefault="00E179C1" w:rsidP="00E179C1">
      <w:pPr>
        <w:spacing w:line="480" w:lineRule="auto"/>
        <w:jc w:val="center"/>
        <w:rPr>
          <w:rFonts w:ascii="Times New Roman" w:hAnsi="Times New Roman" w:cs="Times New Roman"/>
          <w:sz w:val="24"/>
          <w:szCs w:val="24"/>
        </w:rPr>
      </w:pPr>
    </w:p>
    <w:p w14:paraId="12E2CCBE" w14:textId="33F8EB18" w:rsidR="00344EF1" w:rsidRDefault="00344EF1" w:rsidP="00344EF1">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Midterm Exam </w:t>
      </w:r>
    </w:p>
    <w:p w14:paraId="6F5FBD53" w14:textId="512474A5" w:rsidR="00284619" w:rsidRDefault="00284619" w:rsidP="00344EF1">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Q1</w:t>
      </w:r>
    </w:p>
    <w:p w14:paraId="7E9BC7D0" w14:textId="7229AD0C" w:rsidR="00284619" w:rsidRPr="003F5FB2" w:rsidRDefault="003F5FB2" w:rsidP="003F5FB2">
      <w:pPr>
        <w:spacing w:line="480" w:lineRule="auto"/>
        <w:ind w:firstLine="567"/>
        <w:jc w:val="center"/>
        <w:rPr>
          <w:rFonts w:ascii="Times New Roman" w:hAnsi="Times New Roman" w:cs="Times New Roman"/>
          <w:b/>
          <w:bCs/>
          <w:sz w:val="24"/>
          <w:szCs w:val="24"/>
        </w:rPr>
      </w:pPr>
      <w:r>
        <w:rPr>
          <w:rFonts w:ascii="Times New Roman" w:hAnsi="Times New Roman" w:cs="Times New Roman"/>
          <w:b/>
          <w:bCs/>
          <w:sz w:val="24"/>
          <w:szCs w:val="24"/>
        </w:rPr>
        <w:t>Discussion about Cities by Engels, Patel and Cronon</w:t>
      </w:r>
    </w:p>
    <w:p w14:paraId="000C762D" w14:textId="3C95FD83" w:rsidR="00D35AF1" w:rsidRDefault="00D35AF1" w:rsidP="00D35AF1">
      <w:pPr>
        <w:pStyle w:val="NormalWeb"/>
        <w:spacing w:before="0" w:beforeAutospacing="0" w:after="0" w:afterAutospacing="0" w:line="480" w:lineRule="auto"/>
        <w:ind w:firstLine="567"/>
        <w:rPr>
          <w:color w:val="0E101A"/>
        </w:rPr>
      </w:pPr>
      <w:r>
        <w:rPr>
          <w:color w:val="0E101A"/>
        </w:rPr>
        <w:t xml:space="preserve">Engel's book explains the condition and situation of working-class Europe vividly. It is one of the </w:t>
      </w:r>
      <w:r>
        <w:rPr>
          <w:color w:val="0E101A"/>
        </w:rPr>
        <w:t>literatures</w:t>
      </w:r>
      <w:r>
        <w:rPr>
          <w:color w:val="0E101A"/>
        </w:rPr>
        <w:t xml:space="preserve"> showing sociological descriptions compared to other earlier books in the same area (Bridge and Watson, 2010). Engel's works are similar to Cronon and Patel as he has incorporated some concepts and theories by using clear language and even metaphor. This illustrates how a person can comprehend the process of industrialization and urbanization that has been looked at closely. In this area, we can indicate that sociological imagination is vital since we can determine observers' ability to make sense of complex social realities. In any case, we learn the idea and concept is to facilitate theory and language to enhance adequate expression of truth. </w:t>
      </w:r>
    </w:p>
    <w:p w14:paraId="791E39DE" w14:textId="77777777" w:rsidR="00D35AF1" w:rsidRDefault="00D35AF1" w:rsidP="00D35AF1">
      <w:pPr>
        <w:pStyle w:val="NormalWeb"/>
        <w:spacing w:before="0" w:beforeAutospacing="0" w:after="0" w:afterAutospacing="0" w:line="480" w:lineRule="auto"/>
        <w:ind w:firstLine="567"/>
        <w:rPr>
          <w:color w:val="0E101A"/>
        </w:rPr>
      </w:pPr>
      <w:r>
        <w:rPr>
          <w:color w:val="0E101A"/>
        </w:rPr>
        <w:t>All the authors attempt to discuss industrial systems in cities and the plans associated with them. Thereby, they weigh which way and process used to realize some of this change in the long term or the short term (Davis 1996). The book by Engel was published in German, and at the time, Europe was seen to be facing challenges in day out and activities affected. In the Blackwell book, we learn of the difficulties these city dwellers go through. As it is in other underdeveloped and developed cities, we understand the sociological classes and ranks created by human beings to build dependence situations. </w:t>
      </w:r>
    </w:p>
    <w:p w14:paraId="179F0038" w14:textId="77777777" w:rsidR="00D35AF1" w:rsidRDefault="00D35AF1" w:rsidP="00D35AF1">
      <w:pPr>
        <w:pStyle w:val="NormalWeb"/>
        <w:spacing w:before="0" w:beforeAutospacing="0" w:after="0" w:afterAutospacing="0" w:line="480" w:lineRule="auto"/>
        <w:ind w:firstLine="567"/>
        <w:rPr>
          <w:color w:val="0E101A"/>
        </w:rPr>
      </w:pPr>
      <w:r>
        <w:rPr>
          <w:color w:val="0E101A"/>
        </w:rPr>
        <w:t xml:space="preserve">In comparison, the authors check how these cities and urban areas are affected by daily activities (Bridge and Watson, 2010). As they mirror what is written in the black city dweller, they talk about the thinking people possess about urban life. Frederick Engels postulates that even in the great towns, challenges are inevitable, and there is a process in which this town </w:t>
      </w:r>
      <w:r>
        <w:rPr>
          <w:color w:val="0E101A"/>
        </w:rPr>
        <w:lastRenderedPageBreak/>
        <w:t>emerges. On the other hand, William Cronon talks about Natures Metropolis, and, regarding this, he mentions and describes Great West and Chicago. </w:t>
      </w:r>
    </w:p>
    <w:p w14:paraId="49D80F94" w14:textId="77777777" w:rsidR="00D35AF1" w:rsidRDefault="00D35AF1" w:rsidP="00D35AF1">
      <w:pPr>
        <w:pStyle w:val="NormalWeb"/>
        <w:spacing w:before="0" w:beforeAutospacing="0" w:after="0" w:afterAutospacing="0" w:line="480" w:lineRule="auto"/>
        <w:ind w:firstLine="567"/>
        <w:rPr>
          <w:color w:val="0E101A"/>
        </w:rPr>
      </w:pPr>
      <w:r>
        <w:rPr>
          <w:color w:val="0E101A"/>
        </w:rPr>
        <w:t>In contrast, the authors have left out some critical information that researchers could use to form the basis of their literature and projects. Having defined various cities' state, no specified data that the authors uses to guide for future references. There a comprehension of natural issues that are not addressed deeply and could aid in driving essential data to the people (Davis 1996). We learn that advancement in technology is crucial to improve citizens' welfare, urban dwellers, and other essential scenarios. To start with, technology makes it possible for distinguished firms to keep an eye in developing and making critical products that make efficiency a necessary tool among workers and those in business. Then, we know the main aim of urbanization. They differ from each other since some of the information is locked out and portrays this as inadequate or less information to justify a series of selected topics. Also, the areas of discussion, despite being from a similar niche, will almost contradict. </w:t>
      </w:r>
    </w:p>
    <w:p w14:paraId="00DA7331" w14:textId="596AD99D" w:rsidR="00D35AF1" w:rsidRDefault="00D35AF1" w:rsidP="00D35AF1">
      <w:pPr>
        <w:pStyle w:val="NormalWeb"/>
        <w:spacing w:before="0" w:beforeAutospacing="0" w:after="0" w:afterAutospacing="0" w:line="480" w:lineRule="auto"/>
        <w:ind w:firstLine="567"/>
        <w:rPr>
          <w:color w:val="0E101A"/>
        </w:rPr>
      </w:pPr>
      <w:r>
        <w:rPr>
          <w:color w:val="0E101A"/>
        </w:rPr>
        <w:t xml:space="preserve">The creation of the city through socio-ecological changes brings about the consistent creation of new metropolitan features of new urban social and physical natural conditions. These cycles happen in the domains of intensity wherein social entertainers </w:t>
      </w:r>
      <w:r>
        <w:rPr>
          <w:color w:val="0E101A"/>
        </w:rPr>
        <w:t>Endeavor</w:t>
      </w:r>
      <w:r>
        <w:rPr>
          <w:color w:val="0E101A"/>
        </w:rPr>
        <w:t xml:space="preserve"> to safeguard and establish their surroundings in a setting of class, ethnic, racialized, and additionally sexual orientation clashes and force battles (Davis, 1996). The connection among urban areas and nature has, for some time, been a state of conflict for both ecologically disapproved of social scholars and socially disapproved of ecological scholars. For quite some time, urbanization has been examined as a cycle whereby one sort of climate, particularly the "characteristic" climate, is exchanged for, or somewhat taken over by, a significantly more unrefined and repulsive environment. The other also makes this point by recommending what the present-day city speaks </w:t>
      </w:r>
      <w:r>
        <w:rPr>
          <w:color w:val="0E101A"/>
        </w:rPr>
        <w:lastRenderedPageBreak/>
        <w:t>to a backward infringement of the engineered on the regular, of the inorganic on the natural, or rough, essential upgrades on variegated wide-going ones." The city is here set as the absolute opposite of nature. The natural is set in opposition to the fake, and, simultaneously, a regularizing ideal is engraved in the ethical request of nature. That forms part of the contradictory part with unsubstantiated information. </w:t>
      </w:r>
    </w:p>
    <w:p w14:paraId="5781CAC8" w14:textId="680E4503" w:rsidR="00D35AF1" w:rsidRDefault="00D35AF1" w:rsidP="00D35AF1">
      <w:pPr>
        <w:pStyle w:val="NormalWeb"/>
        <w:spacing w:before="0" w:beforeAutospacing="0" w:after="0" w:afterAutospacing="0" w:line="480" w:lineRule="auto"/>
        <w:ind w:firstLine="567"/>
        <w:jc w:val="center"/>
        <w:rPr>
          <w:color w:val="0E101A"/>
        </w:rPr>
      </w:pPr>
      <w:r>
        <w:rPr>
          <w:rStyle w:val="Strong"/>
          <w:color w:val="0E101A"/>
        </w:rPr>
        <w:t>Q 2</w:t>
      </w:r>
      <w:r>
        <w:rPr>
          <w:rStyle w:val="Strong"/>
          <w:color w:val="0E101A"/>
          <w:lang w:val="en-US"/>
        </w:rPr>
        <w:t>-</w:t>
      </w:r>
      <w:r w:rsidRPr="00D35AF1">
        <w:rPr>
          <w:rFonts w:ascii="Arial" w:hAnsi="Arial" w:cs="Arial"/>
          <w:color w:val="73879C"/>
          <w:sz w:val="20"/>
          <w:szCs w:val="20"/>
          <w:shd w:val="clear" w:color="auto" w:fill="FFFFFF"/>
        </w:rPr>
        <w:t xml:space="preserve"> </w:t>
      </w:r>
      <w:r w:rsidRPr="00D35AF1">
        <w:rPr>
          <w:b/>
          <w:bCs/>
          <w:shd w:val="clear" w:color="auto" w:fill="FFFFFF"/>
        </w:rPr>
        <w:t>Discuss the similarities and differences in their analysis of urban life</w:t>
      </w:r>
    </w:p>
    <w:p w14:paraId="294D4C66" w14:textId="77777777" w:rsidR="00D35AF1" w:rsidRDefault="00D35AF1" w:rsidP="00D35AF1">
      <w:pPr>
        <w:pStyle w:val="NormalWeb"/>
        <w:spacing w:before="0" w:beforeAutospacing="0" w:after="0" w:afterAutospacing="0" w:line="480" w:lineRule="auto"/>
        <w:ind w:firstLine="567"/>
        <w:rPr>
          <w:color w:val="0E101A"/>
        </w:rPr>
      </w:pPr>
      <w:r>
        <w:rPr>
          <w:color w:val="0E101A"/>
        </w:rPr>
        <w:t>The two authors have discussed various cities. They indicate that urban cities continue to grow in size, density, and heterogeneity. An example of what they discuss is Louis Wirth's seminal defining characteristics (Bridge and Watson, 2010). In the late 19th century and into the 20th century, scholars were interested in how this new form of the human settlement would change social organization and interaction. Interpreting how urban environments influence and affect the minds and the bodies of urbanites are not fresh. Still, the case for studying the experiential and sensory dimension had to be made and presented in a way that showed its sociological import. Through his various studies of urban life and culture, Simmel supplied the most straightforward and persuasive rationale.</w:t>
      </w:r>
    </w:p>
    <w:p w14:paraId="1578C005" w14:textId="5DA18E52" w:rsidR="00D35AF1" w:rsidRDefault="00D35AF1" w:rsidP="00D35AF1">
      <w:pPr>
        <w:pStyle w:val="NormalWeb"/>
        <w:spacing w:before="0" w:beforeAutospacing="0" w:after="0" w:afterAutospacing="0" w:line="480" w:lineRule="auto"/>
        <w:ind w:firstLine="567"/>
        <w:rPr>
          <w:color w:val="0E101A"/>
        </w:rPr>
      </w:pPr>
      <w:r>
        <w:rPr>
          <w:color w:val="0E101A"/>
        </w:rPr>
        <w:t>Simmel suggests that our sensory perceptions of others play two critical roles in human interaction. First, our "sensory impression" of another person invokes emotional and even physical responses in us</w:t>
      </w:r>
      <w:r>
        <w:rPr>
          <w:color w:val="0E101A"/>
        </w:rPr>
        <w:t>.,</w:t>
      </w:r>
      <w:r>
        <w:rPr>
          <w:color w:val="0E101A"/>
        </w:rPr>
        <w:t xml:space="preserve"> we are somewhat automatically affected by the presence of others. Second, "the sense impression" becomes "a means of knowledge of the other: what I see, hear or feel of the person is now only the bridge over which I get to them." One's "sense impression" of another person, or people, contains both a primordial impulse and a cognitive interpretation. </w:t>
      </w:r>
    </w:p>
    <w:p w14:paraId="546B46EC" w14:textId="77777777" w:rsidR="00D35AF1" w:rsidRDefault="00D35AF1" w:rsidP="00D35AF1">
      <w:pPr>
        <w:pStyle w:val="NormalWeb"/>
        <w:spacing w:before="0" w:beforeAutospacing="0" w:after="0" w:afterAutospacing="0" w:line="480" w:lineRule="auto"/>
        <w:ind w:firstLine="567"/>
        <w:rPr>
          <w:color w:val="0E101A"/>
        </w:rPr>
      </w:pPr>
      <w:r>
        <w:rPr>
          <w:color w:val="0E101A"/>
        </w:rPr>
        <w:t xml:space="preserve">On the contrary, Simmel notes that in the modern world of urban life, the eye is "destined for a completely sociological unique achievement: the connection and interaction of individuals </w:t>
      </w:r>
      <w:r>
        <w:rPr>
          <w:color w:val="0E101A"/>
        </w:rPr>
        <w:lastRenderedPageBreak/>
        <w:t>that lies in the act of individuals looking at one another" (Bridge and Watson, 2010). The eye's "unique sociological achievement" is connected to the expressiveness of the face and the equally comforting and disturbing movements of mutual recognition between strangers looking at one another. Simmel declares that "One cannot take through the eye without giving at the same time." The eye produces the "most complete reciprocity" between strangers, while the ear and the nose can only take without giving. </w:t>
      </w:r>
    </w:p>
    <w:p w14:paraId="328CB409" w14:textId="3FE1DE11" w:rsidR="00D35AF1" w:rsidRDefault="00D35AF1" w:rsidP="00D35AF1">
      <w:pPr>
        <w:pStyle w:val="NormalWeb"/>
        <w:spacing w:before="0" w:beforeAutospacing="0" w:after="0" w:afterAutospacing="0" w:line="480" w:lineRule="auto"/>
        <w:ind w:firstLine="567"/>
        <w:rPr>
          <w:color w:val="0E101A"/>
        </w:rPr>
      </w:pPr>
      <w:r>
        <w:rPr>
          <w:color w:val="0E101A"/>
        </w:rPr>
        <w:t xml:space="preserve">  Simmel shows how the sense of smell and taste have been used as a means for supporting the ideals of privileged social classes over those of other races. He discusses the threatening presence of the body </w:t>
      </w:r>
      <w:r>
        <w:rPr>
          <w:color w:val="0E101A"/>
        </w:rPr>
        <w:t>door</w:t>
      </w:r>
      <w:r>
        <w:rPr>
          <w:color w:val="0E101A"/>
        </w:rPr>
        <w:t xml:space="preserve"> of the Negro among the higher social circles of North America," as well as the </w:t>
      </w:r>
      <w:r>
        <w:rPr>
          <w:color w:val="0E101A"/>
        </w:rPr>
        <w:t>often-vague</w:t>
      </w:r>
      <w:r>
        <w:rPr>
          <w:color w:val="0E101A"/>
        </w:rPr>
        <w:t xml:space="preserve"> aversion between Germanic peoples and Jews. The supposed refinement and "heightened sensibility" of the urban elite bourgeois class, according to Simmel, "generally brings much more suffering and repulsion than joys and attractions in its wake". The senses, then, can be understood as vehicles for not only interpreting the world but for dividing the world and the people in it into factions. Such divisions are based on value judgments of others' bodies, not only how they look but how they smell, sound, taste, and feel. Simmel explores the connections between taste, social class, and "table manners" in his 1910 follow‐up essay on the senses, "Sociology of the Meal." </w:t>
      </w:r>
    </w:p>
    <w:p w14:paraId="5AE3911D" w14:textId="77777777" w:rsidR="00D35AF1" w:rsidRDefault="00D35AF1" w:rsidP="00D35AF1">
      <w:pPr>
        <w:pStyle w:val="NormalWeb"/>
        <w:spacing w:before="0" w:beforeAutospacing="0" w:after="0" w:afterAutospacing="0" w:line="480" w:lineRule="auto"/>
        <w:ind w:firstLine="567"/>
        <w:rPr>
          <w:color w:val="0E101A"/>
        </w:rPr>
      </w:pPr>
      <w:r>
        <w:rPr>
          <w:color w:val="0E101A"/>
        </w:rPr>
        <w:t>This idea of ecological or spatial separation I similar to both of them. We also learn </w:t>
      </w:r>
    </w:p>
    <w:p w14:paraId="6742E930" w14:textId="77777777" w:rsidR="00D35AF1" w:rsidRDefault="00D35AF1" w:rsidP="00D35AF1">
      <w:pPr>
        <w:pStyle w:val="NormalWeb"/>
        <w:spacing w:before="0" w:beforeAutospacing="0" w:after="0" w:afterAutospacing="0" w:line="480" w:lineRule="auto"/>
        <w:ind w:firstLine="567"/>
        <w:rPr>
          <w:color w:val="0E101A"/>
        </w:rPr>
      </w:pPr>
      <w:r>
        <w:rPr>
          <w:color w:val="0E101A"/>
        </w:rPr>
        <w:t xml:space="preserve">segregation is one of the dominant tropes in urban sociology, indicated in the (Davis 1996). The spatial ordering of cities positively affects the ways the city is experienced. Through his observations and poetic prose, Walter Benjamin, who attended Simmel's lectures in Berlin, sought to elucidate urban street life complexities. Like Simmel, he focused on the emerging visually-oriented urban culture and the forces of capitalism that created territorial separations </w:t>
      </w:r>
      <w:r>
        <w:rPr>
          <w:color w:val="0E101A"/>
        </w:rPr>
        <w:lastRenderedPageBreak/>
        <w:t>between the powerful and the powerless. He, too, recognized urbanism as a corporeal and sensuous experience (Bridge and Watson, 2010). This explains, in part, his fascination with Baudelaire's flaneur and his ability to move across spaces and read the city like a text without being seduced by the sensory offerings of the town. </w:t>
      </w:r>
    </w:p>
    <w:p w14:paraId="0CF8C69C" w14:textId="77777777" w:rsidR="00D35AF1" w:rsidRDefault="00D35AF1" w:rsidP="00D35AF1">
      <w:pPr>
        <w:pStyle w:val="NormalWeb"/>
        <w:spacing w:before="0" w:beforeAutospacing="0" w:after="0" w:afterAutospacing="0" w:line="480" w:lineRule="auto"/>
        <w:ind w:firstLine="567"/>
        <w:rPr>
          <w:color w:val="0E101A"/>
        </w:rPr>
      </w:pPr>
      <w:r>
        <w:rPr>
          <w:color w:val="0E101A"/>
        </w:rPr>
        <w:t>Benjamin embraces the flaneur's position in his monumental Arcades Project, a meticulously researched study of Parisian markets in the 1920s (Bridge and Watson, 2010). The following captures Benjamin as the urban stroller, aware of his body and the sensory influence the city streets – "the dwelling place of the collective" has on it. </w:t>
      </w:r>
    </w:p>
    <w:p w14:paraId="3EE7FEED" w14:textId="7825E630" w:rsidR="00D35AF1" w:rsidRPr="00D35AF1" w:rsidRDefault="00D35AF1" w:rsidP="00D35AF1">
      <w:pPr>
        <w:pStyle w:val="NormalWeb"/>
        <w:spacing w:before="0" w:beforeAutospacing="0" w:after="0" w:afterAutospacing="0" w:line="480" w:lineRule="auto"/>
        <w:ind w:firstLine="567"/>
        <w:rPr>
          <w:color w:val="0E101A"/>
          <w:lang w:val="en-US"/>
        </w:rPr>
      </w:pPr>
      <w:r>
        <w:rPr>
          <w:rStyle w:val="Strong"/>
          <w:color w:val="0E101A"/>
        </w:rPr>
        <w:t>Q3</w:t>
      </w:r>
      <w:proofErr w:type="gramStart"/>
      <w:r>
        <w:rPr>
          <w:rStyle w:val="Strong"/>
          <w:color w:val="0E101A"/>
          <w:lang w:val="en-US"/>
        </w:rPr>
        <w:t>-  What</w:t>
      </w:r>
      <w:proofErr w:type="gramEnd"/>
      <w:r>
        <w:rPr>
          <w:rStyle w:val="Strong"/>
          <w:color w:val="0E101A"/>
          <w:lang w:val="en-US"/>
        </w:rPr>
        <w:t xml:space="preserve"> are the effects of </w:t>
      </w:r>
      <w:proofErr w:type="spellStart"/>
      <w:r>
        <w:rPr>
          <w:rStyle w:val="Strong"/>
          <w:color w:val="0E101A"/>
          <w:lang w:val="en-US"/>
        </w:rPr>
        <w:t>Globalizaton</w:t>
      </w:r>
      <w:proofErr w:type="spellEnd"/>
    </w:p>
    <w:p w14:paraId="652BA309" w14:textId="77777777" w:rsidR="00D35AF1" w:rsidRDefault="00D35AF1" w:rsidP="00D35AF1">
      <w:pPr>
        <w:pStyle w:val="NormalWeb"/>
        <w:spacing w:before="0" w:beforeAutospacing="0" w:after="0" w:afterAutospacing="0" w:line="480" w:lineRule="auto"/>
        <w:ind w:firstLine="567"/>
        <w:rPr>
          <w:color w:val="0E101A"/>
        </w:rPr>
      </w:pPr>
      <w:proofErr w:type="spellStart"/>
      <w:r>
        <w:rPr>
          <w:color w:val="0E101A"/>
        </w:rPr>
        <w:t>Sassen</w:t>
      </w:r>
      <w:proofErr w:type="spellEnd"/>
      <w:r>
        <w:rPr>
          <w:color w:val="0E101A"/>
        </w:rPr>
        <w:t xml:space="preserve"> looking at the Future in Los Angeles discusses various effects associated with globalization. For instance, about "the contradictory impact of economic globalization upon different segments of Los Angeles Society," where LA is both a specific place and a global city that "has come to play the double role of utopia and dystopia for advanced capitalism." Davis researched this book in the 1980s, when Reaganomics, the crack wars, increased socioeconomic disparity, law-and-order policing, and other anti-urban developments were wreaking havoc on Los Angeles (Bridge and Watson, 2010); by putting LA in a global economic context, he can show that many of these problems are related to globalization, not low domestic policy, and that fighting capitalism will have the most significant impact on urban welfare.</w:t>
      </w:r>
    </w:p>
    <w:p w14:paraId="561A8169" w14:textId="77777777" w:rsidR="00D35AF1" w:rsidRDefault="00D35AF1" w:rsidP="00D35AF1">
      <w:pPr>
        <w:pStyle w:val="NormalWeb"/>
        <w:spacing w:before="0" w:beforeAutospacing="0" w:after="0" w:afterAutospacing="0" w:line="480" w:lineRule="auto"/>
        <w:ind w:firstLine="567"/>
        <w:rPr>
          <w:color w:val="0E101A"/>
        </w:rPr>
      </w:pPr>
      <w:r>
        <w:rPr>
          <w:color w:val="0E101A"/>
        </w:rPr>
        <w:t xml:space="preserve">In support of Appadurai and Lucero's arguments on the effects of globalization, Davis calls his method because 1940s film noir "insinuated contempt for a depraved business culture while it simultaneously searched for a critical mode of writing or filmmaking within it." Accordingly, the book is both a critique of LA and an investigation of how to make it better. Davis details the migration of LA's power elites from a post-WWI Downtown/Westside divide to suburbia to </w:t>
      </w:r>
      <w:r>
        <w:rPr>
          <w:color w:val="0E101A"/>
        </w:rPr>
        <w:lastRenderedPageBreak/>
        <w:t>international banks, land monopolies, and global real estate holdings; the development of SoCal homeowners associations as racist, classist privatization; "fortress LA" and the privatization and militarization of urban life as a spatialized class war; the history of cocaine in LA as evidence of increasing wealth disparity; the dirty politics of LA's Catholic archdiocese, which is a huge employer and landholder in LA that prefers to be a space of law-and-order rather than one of resistance; and the plight of the suburbanized working class in an era of deindustrialization and decay. </w:t>
      </w:r>
    </w:p>
    <w:p w14:paraId="51E37D9F" w14:textId="77777777" w:rsidR="00D35AF1" w:rsidRDefault="00D35AF1" w:rsidP="00D35AF1">
      <w:pPr>
        <w:pStyle w:val="NormalWeb"/>
        <w:spacing w:before="0" w:beforeAutospacing="0" w:after="0" w:afterAutospacing="0" w:line="480" w:lineRule="auto"/>
        <w:ind w:firstLine="567"/>
        <w:rPr>
          <w:color w:val="0E101A"/>
        </w:rPr>
      </w:pPr>
      <w:r>
        <w:rPr>
          <w:color w:val="0E101A"/>
        </w:rPr>
        <w:t>Throughout, Davis' muckraking journalism digs through LA's many layers of complexity in expose after expose. As against other urban studies folks who write about globalization, Davis brings LA alive, reminding us of its residents' power even as he implicates the city's elites in global networks of influence.</w:t>
      </w:r>
    </w:p>
    <w:p w14:paraId="1F572CDB" w14:textId="77777777" w:rsidR="00D35AF1" w:rsidRDefault="00D35AF1" w:rsidP="00D35AF1">
      <w:pPr>
        <w:pStyle w:val="NormalWeb"/>
        <w:spacing w:before="0" w:beforeAutospacing="0" w:after="0" w:afterAutospacing="0" w:line="480" w:lineRule="auto"/>
        <w:ind w:firstLine="567"/>
        <w:jc w:val="center"/>
        <w:rPr>
          <w:color w:val="0E101A"/>
        </w:rPr>
      </w:pPr>
      <w:r>
        <w:rPr>
          <w:rStyle w:val="Strong"/>
          <w:color w:val="0E101A"/>
        </w:rPr>
        <w:t>Question 4</w:t>
      </w:r>
    </w:p>
    <w:p w14:paraId="6E609D34" w14:textId="664189AF" w:rsidR="00D35AF1" w:rsidRPr="00D35AF1" w:rsidRDefault="00D35AF1" w:rsidP="00D35AF1">
      <w:pPr>
        <w:pStyle w:val="NormalWeb"/>
        <w:spacing w:before="0" w:beforeAutospacing="0" w:after="0" w:afterAutospacing="0" w:line="480" w:lineRule="auto"/>
        <w:ind w:firstLine="567"/>
        <w:jc w:val="center"/>
        <w:rPr>
          <w:color w:val="0E101A"/>
          <w:lang w:val="en-US"/>
        </w:rPr>
      </w:pPr>
      <w:r>
        <w:rPr>
          <w:rStyle w:val="Strong"/>
          <w:color w:val="0E101A"/>
        </w:rPr>
        <w:t>Themes</w:t>
      </w:r>
      <w:r>
        <w:rPr>
          <w:rStyle w:val="Strong"/>
          <w:color w:val="0E101A"/>
          <w:lang w:val="en-US"/>
        </w:rPr>
        <w:t xml:space="preserve"> in the First Four Chapters</w:t>
      </w:r>
    </w:p>
    <w:p w14:paraId="0B7BD752" w14:textId="77777777" w:rsidR="00D35AF1" w:rsidRDefault="00D35AF1" w:rsidP="00D35AF1">
      <w:pPr>
        <w:pStyle w:val="NormalWeb"/>
        <w:spacing w:before="0" w:beforeAutospacing="0" w:after="0" w:afterAutospacing="0" w:line="480" w:lineRule="auto"/>
        <w:ind w:firstLine="567"/>
        <w:rPr>
          <w:color w:val="0E101A"/>
        </w:rPr>
      </w:pPr>
      <w:r>
        <w:rPr>
          <w:color w:val="0E101A"/>
        </w:rPr>
        <w:t xml:space="preserve">There are various thematic concerns found in the book and which have discussed themes in the book. They form the basis of the idea to understand sociology and urbanization. We realize that research networks that facilitate collaborative research are increasing both regionally and globally, and such collaborations contribute significantly to knowledge transfer, particularly in health research. The Palliative Care Research Network is an Irish-based network that seeks to create opportunities and engender a collaborative environment to encourage innovative research relevant to policy and practice. The current review outlines a methodology to identify cross-cutting messages to identify how dissemination outputs can be optimized to ensure that key messages from this research reach all knowledge users. Preferred reporting items for systematic review and meta-analysis protocol guidelines will inform the search and analysis plan to ensure </w:t>
      </w:r>
      <w:r>
        <w:rPr>
          <w:color w:val="0E101A"/>
        </w:rPr>
        <w:lastRenderedPageBreak/>
        <w:t>that the data's synthesis is as rigorous as possible. An approach based on critical interpretative synthesis will be adapted to include a thematic synthesis to identify higher-order themes and messages from a body of dissemination products generated by the Palliative Care Research Network. </w:t>
      </w:r>
    </w:p>
    <w:p w14:paraId="290008FB" w14:textId="77777777" w:rsidR="00D35AF1" w:rsidRDefault="00D35AF1" w:rsidP="00D35AF1">
      <w:pPr>
        <w:pStyle w:val="NormalWeb"/>
        <w:spacing w:before="0" w:beforeAutospacing="0" w:after="0" w:afterAutospacing="0" w:line="480" w:lineRule="auto"/>
        <w:ind w:firstLine="567"/>
        <w:rPr>
          <w:color w:val="0E101A"/>
        </w:rPr>
      </w:pPr>
      <w:r>
        <w:rPr>
          <w:color w:val="0E101A"/>
        </w:rPr>
        <w:t>The thematic synthesis outlined in the present protocol offers a novel method of synthesizing data from a focused research network that employs a variety of dissemination materials to identify key themes and messages from a specific body of research. The high-level themes and messages will be determined from the thematic synthesis, widely disseminated, and targeted towards a range of stakeholders and knowledge users such as careers, health, social care professionals, policymakers, and researchers.</w:t>
      </w:r>
    </w:p>
    <w:p w14:paraId="449219E9" w14:textId="3EF70EDE" w:rsidR="00284619" w:rsidRPr="00D35AF1" w:rsidRDefault="00D35AF1" w:rsidP="00D35AF1">
      <w:pPr>
        <w:pStyle w:val="NormalWeb"/>
        <w:spacing w:before="0" w:beforeAutospacing="0" w:after="0" w:afterAutospacing="0" w:line="480" w:lineRule="auto"/>
        <w:ind w:firstLine="567"/>
        <w:rPr>
          <w:color w:val="0E101A"/>
          <w:lang w:val="en-US"/>
        </w:rPr>
      </w:pPr>
      <w:r>
        <w:rPr>
          <w:color w:val="0E101A"/>
        </w:rPr>
        <w:t>Knowing positive emotions' shared and differentiating features can yield valuable insight into the structure of positive emotion space and identify emotion states, or aspects of emotion states, that are most relevant for particular psychological processes and outcomes. We report two studies that examined core relational themes and expressive displays for eight positive emotion constructs--amusement, awe, contentment, gratitude, interest, joy, love, and pride. Across studies, all eight emotions shared one quality: high positive valence. Distinctive core relational and expressive display patterns were found for four emotions--amusement, awe, interest, and pride. Gratitude was associated with a distinct core relational theme but not a graphic display. Joy and love were associated with a different expressive production, but their core relational themes also characterized pride and gratitude. Contentment was associated with another graphic display but not a core relational theme. The implications of this work for the study of positive emotion are discussed</w:t>
      </w:r>
      <w:r>
        <w:rPr>
          <w:color w:val="0E101A"/>
          <w:lang w:val="en-US"/>
        </w:rPr>
        <w:t>.</w:t>
      </w:r>
    </w:p>
    <w:p w14:paraId="1A9611BB" w14:textId="77777777" w:rsidR="00D35AF1" w:rsidRDefault="00D35AF1" w:rsidP="00133836">
      <w:pPr>
        <w:spacing w:after="0" w:line="480" w:lineRule="auto"/>
        <w:ind w:firstLine="567"/>
        <w:jc w:val="center"/>
        <w:rPr>
          <w:rFonts w:ascii="Times New Roman" w:eastAsia="Times New Roman" w:hAnsi="Times New Roman" w:cs="Times New Roman"/>
          <w:sz w:val="24"/>
          <w:szCs w:val="24"/>
        </w:rPr>
      </w:pPr>
    </w:p>
    <w:p w14:paraId="3E8BD568" w14:textId="2702341D" w:rsidR="00133836" w:rsidRDefault="00133836" w:rsidP="00133836">
      <w:pPr>
        <w:spacing w:after="0" w:line="480" w:lineRule="auto"/>
        <w:ind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14:paraId="0714431E" w14:textId="77777777" w:rsidR="00A13906" w:rsidRPr="00E00B01" w:rsidRDefault="00A13906" w:rsidP="00A13906">
      <w:pPr>
        <w:shd w:val="clear" w:color="auto" w:fill="FFFFFF"/>
        <w:spacing w:after="0" w:line="550" w:lineRule="atLeast"/>
        <w:ind w:left="567" w:right="75" w:hanging="567"/>
        <w:rPr>
          <w:rFonts w:ascii="Times New Roman" w:eastAsia="Times New Roman" w:hAnsi="Times New Roman" w:cs="Times New Roman"/>
          <w:color w:val="000000"/>
          <w:sz w:val="24"/>
          <w:szCs w:val="24"/>
        </w:rPr>
      </w:pPr>
      <w:r w:rsidRPr="00E00B01">
        <w:rPr>
          <w:rFonts w:ascii="Times New Roman" w:eastAsia="Times New Roman" w:hAnsi="Times New Roman" w:cs="Times New Roman"/>
          <w:color w:val="000000"/>
          <w:sz w:val="24"/>
          <w:szCs w:val="24"/>
        </w:rPr>
        <w:t>Bridge, G., &amp; Watson, S. (2010). </w:t>
      </w:r>
      <w:r w:rsidRPr="00E00B01">
        <w:rPr>
          <w:rFonts w:ascii="Times New Roman" w:eastAsia="Times New Roman" w:hAnsi="Times New Roman" w:cs="Times New Roman"/>
          <w:i/>
          <w:iCs/>
          <w:color w:val="000000"/>
          <w:sz w:val="24"/>
          <w:szCs w:val="24"/>
        </w:rPr>
        <w:t>The Blackwell city reader</w:t>
      </w:r>
      <w:r w:rsidRPr="00E00B01">
        <w:rPr>
          <w:rFonts w:ascii="Times New Roman" w:eastAsia="Times New Roman" w:hAnsi="Times New Roman" w:cs="Times New Roman"/>
          <w:color w:val="000000"/>
          <w:sz w:val="24"/>
          <w:szCs w:val="24"/>
        </w:rPr>
        <w:t>. John Wiley &amp; Sons.</w:t>
      </w:r>
    </w:p>
    <w:p w14:paraId="2F5F94FD" w14:textId="77777777" w:rsidR="00A13906" w:rsidRPr="00E00B01" w:rsidRDefault="00A13906" w:rsidP="00A13906">
      <w:pPr>
        <w:shd w:val="clear" w:color="auto" w:fill="FFFFFF"/>
        <w:spacing w:after="0" w:line="550" w:lineRule="atLeast"/>
        <w:ind w:left="567" w:right="75" w:hanging="567"/>
        <w:rPr>
          <w:rFonts w:ascii="Times New Roman" w:eastAsia="Times New Roman" w:hAnsi="Times New Roman" w:cs="Times New Roman"/>
          <w:color w:val="000000"/>
          <w:sz w:val="24"/>
          <w:szCs w:val="24"/>
        </w:rPr>
      </w:pPr>
      <w:r w:rsidRPr="00E00B01">
        <w:rPr>
          <w:rFonts w:ascii="Times New Roman" w:eastAsia="Times New Roman" w:hAnsi="Times New Roman" w:cs="Times New Roman"/>
          <w:color w:val="000000"/>
          <w:sz w:val="24"/>
          <w:szCs w:val="24"/>
        </w:rPr>
        <w:t>Davis, M. (2006). </w:t>
      </w:r>
      <w:r w:rsidRPr="00E00B01">
        <w:rPr>
          <w:rFonts w:ascii="Times New Roman" w:eastAsia="Times New Roman" w:hAnsi="Times New Roman" w:cs="Times New Roman"/>
          <w:i/>
          <w:iCs/>
          <w:color w:val="000000"/>
          <w:sz w:val="24"/>
          <w:szCs w:val="24"/>
        </w:rPr>
        <w:t>City of quartz: Excavating the future in Los Angeles</w:t>
      </w:r>
      <w:r w:rsidRPr="00E00B01">
        <w:rPr>
          <w:rFonts w:ascii="Times New Roman" w:eastAsia="Times New Roman" w:hAnsi="Times New Roman" w:cs="Times New Roman"/>
          <w:color w:val="000000"/>
          <w:sz w:val="24"/>
          <w:szCs w:val="24"/>
        </w:rPr>
        <w:t>. Verso Books.</w:t>
      </w:r>
    </w:p>
    <w:p w14:paraId="1040E98D" w14:textId="77777777" w:rsidR="00133836" w:rsidRPr="00BE41AC" w:rsidRDefault="00133836" w:rsidP="00A13906">
      <w:pPr>
        <w:spacing w:after="0" w:line="480" w:lineRule="auto"/>
        <w:ind w:left="567" w:hanging="567"/>
        <w:rPr>
          <w:rFonts w:ascii="Times New Roman" w:eastAsia="Times New Roman" w:hAnsi="Times New Roman" w:cs="Times New Roman"/>
          <w:sz w:val="24"/>
          <w:szCs w:val="24"/>
        </w:rPr>
      </w:pPr>
    </w:p>
    <w:p w14:paraId="16A358F3" w14:textId="2BE6CE3B" w:rsidR="00732F99" w:rsidRPr="0080438A" w:rsidRDefault="00732F99" w:rsidP="00BE41AC">
      <w:pPr>
        <w:spacing w:after="0" w:line="480" w:lineRule="auto"/>
        <w:ind w:firstLine="567"/>
        <w:rPr>
          <w:rFonts w:ascii="Times New Roman" w:eastAsia="Times New Roman" w:hAnsi="Times New Roman" w:cs="Times New Roman"/>
          <w:sz w:val="24"/>
          <w:szCs w:val="24"/>
        </w:rPr>
      </w:pPr>
    </w:p>
    <w:sectPr w:rsidR="00732F99" w:rsidRPr="0080438A" w:rsidSect="001F28E6">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895281" w14:textId="77777777" w:rsidR="008C77CD" w:rsidRDefault="008C77CD" w:rsidP="005336FD">
      <w:pPr>
        <w:spacing w:after="0" w:line="240" w:lineRule="auto"/>
      </w:pPr>
      <w:r>
        <w:separator/>
      </w:r>
    </w:p>
  </w:endnote>
  <w:endnote w:type="continuationSeparator" w:id="0">
    <w:p w14:paraId="68138E0E" w14:textId="77777777" w:rsidR="008C77CD" w:rsidRDefault="008C77CD" w:rsidP="00533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086D67" w14:textId="77777777" w:rsidR="008C77CD" w:rsidRDefault="008C77CD" w:rsidP="005336FD">
      <w:pPr>
        <w:spacing w:after="0" w:line="240" w:lineRule="auto"/>
      </w:pPr>
      <w:r>
        <w:separator/>
      </w:r>
    </w:p>
  </w:footnote>
  <w:footnote w:type="continuationSeparator" w:id="0">
    <w:p w14:paraId="780A927E" w14:textId="77777777" w:rsidR="008C77CD" w:rsidRDefault="008C77CD" w:rsidP="005336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52DEA4" w14:textId="77777777" w:rsidR="00862DD1" w:rsidRDefault="00862DD1">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4FC7BF" w14:textId="77777777" w:rsidR="00862DD1" w:rsidRDefault="00862DD1">
    <w:pPr>
      <w:pStyle w:val="Header"/>
      <w:jc w:val="right"/>
    </w:pPr>
    <w:r>
      <w:rPr>
        <w:rFonts w:ascii="Times New Roman" w:hAnsi="Times New Roman" w:cs="Times New Roman"/>
        <w:sz w:val="24"/>
        <w:szCs w:val="24"/>
      </w:rPr>
      <w:t>Running head: COMPREHENSIVE ASSESSMENT</w:t>
    </w:r>
    <w:r>
      <w:t xml:space="preserve">                                                                                   </w:t>
    </w:r>
    <w:sdt>
      <w:sdtPr>
        <w:id w:val="971945888"/>
        <w:docPartObj>
          <w:docPartGallery w:val="Page Numbers (Top of Page)"/>
          <w:docPartUnique/>
        </w:docPartObj>
      </w:sdtPr>
      <w:sdtEndPr>
        <w:rPr>
          <w:noProof/>
        </w:rPr>
      </w:sdtEndPr>
      <w:sdtContent>
        <w:r w:rsidR="00C71199">
          <w:fldChar w:fldCharType="begin"/>
        </w:r>
        <w:r w:rsidR="00C71199">
          <w:instrText xml:space="preserve"> PAGE   \* MERGEFORMAT </w:instrText>
        </w:r>
        <w:r w:rsidR="00C71199">
          <w:fldChar w:fldCharType="separate"/>
        </w:r>
        <w:r w:rsidR="00985DA4">
          <w:rPr>
            <w:noProof/>
          </w:rPr>
          <w:t>1</w:t>
        </w:r>
        <w:r w:rsidR="00C71199">
          <w:rPr>
            <w:noProof/>
          </w:rPr>
          <w:fldChar w:fldCharType="end"/>
        </w:r>
      </w:sdtContent>
    </w:sdt>
  </w:p>
  <w:p w14:paraId="27AEF023" w14:textId="77777777" w:rsidR="00862DD1" w:rsidRDefault="00862D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6943F5"/>
    <w:multiLevelType w:val="hybridMultilevel"/>
    <w:tmpl w:val="9B4AE450"/>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bcwB2JjYyMDE0szcyUdpeDU4uLM/DyQArNaAD//CIssAAAA"/>
  </w:docVars>
  <w:rsids>
    <w:rsidRoot w:val="001D7DCA"/>
    <w:rsid w:val="000033DE"/>
    <w:rsid w:val="000241B2"/>
    <w:rsid w:val="000312F7"/>
    <w:rsid w:val="0004344D"/>
    <w:rsid w:val="000448F2"/>
    <w:rsid w:val="00050256"/>
    <w:rsid w:val="00051789"/>
    <w:rsid w:val="000716B2"/>
    <w:rsid w:val="00077582"/>
    <w:rsid w:val="00083732"/>
    <w:rsid w:val="000868B3"/>
    <w:rsid w:val="000B48F0"/>
    <w:rsid w:val="000F6829"/>
    <w:rsid w:val="00114682"/>
    <w:rsid w:val="00115EE3"/>
    <w:rsid w:val="0012570B"/>
    <w:rsid w:val="00133836"/>
    <w:rsid w:val="0015413B"/>
    <w:rsid w:val="00161D3B"/>
    <w:rsid w:val="00164ED3"/>
    <w:rsid w:val="001664F6"/>
    <w:rsid w:val="001723EE"/>
    <w:rsid w:val="00176344"/>
    <w:rsid w:val="00194030"/>
    <w:rsid w:val="001B5F16"/>
    <w:rsid w:val="001D11EE"/>
    <w:rsid w:val="001D7DCA"/>
    <w:rsid w:val="001E574B"/>
    <w:rsid w:val="001F28E6"/>
    <w:rsid w:val="001F446F"/>
    <w:rsid w:val="001F6DA9"/>
    <w:rsid w:val="001F7A58"/>
    <w:rsid w:val="002119FC"/>
    <w:rsid w:val="0021511F"/>
    <w:rsid w:val="002179E6"/>
    <w:rsid w:val="0022779A"/>
    <w:rsid w:val="00240DBB"/>
    <w:rsid w:val="00282308"/>
    <w:rsid w:val="00284619"/>
    <w:rsid w:val="002D3762"/>
    <w:rsid w:val="002F6262"/>
    <w:rsid w:val="002F6405"/>
    <w:rsid w:val="003204D4"/>
    <w:rsid w:val="00324318"/>
    <w:rsid w:val="00344EF1"/>
    <w:rsid w:val="00346832"/>
    <w:rsid w:val="003500BE"/>
    <w:rsid w:val="00366CA1"/>
    <w:rsid w:val="00367AF7"/>
    <w:rsid w:val="003752F1"/>
    <w:rsid w:val="00395F34"/>
    <w:rsid w:val="003A417D"/>
    <w:rsid w:val="003A60FF"/>
    <w:rsid w:val="003B7736"/>
    <w:rsid w:val="003C2948"/>
    <w:rsid w:val="003C408F"/>
    <w:rsid w:val="003C697A"/>
    <w:rsid w:val="003C701D"/>
    <w:rsid w:val="003D457C"/>
    <w:rsid w:val="003E6403"/>
    <w:rsid w:val="003F5FB2"/>
    <w:rsid w:val="00400600"/>
    <w:rsid w:val="00402E03"/>
    <w:rsid w:val="0041388B"/>
    <w:rsid w:val="00433DC3"/>
    <w:rsid w:val="00435283"/>
    <w:rsid w:val="00435873"/>
    <w:rsid w:val="004416EA"/>
    <w:rsid w:val="00441DA2"/>
    <w:rsid w:val="00444135"/>
    <w:rsid w:val="00446F9F"/>
    <w:rsid w:val="00462D10"/>
    <w:rsid w:val="00466955"/>
    <w:rsid w:val="004677FF"/>
    <w:rsid w:val="00481D7E"/>
    <w:rsid w:val="004B41B9"/>
    <w:rsid w:val="004C124D"/>
    <w:rsid w:val="004C36C2"/>
    <w:rsid w:val="004F68DD"/>
    <w:rsid w:val="0050037D"/>
    <w:rsid w:val="00511415"/>
    <w:rsid w:val="005137C2"/>
    <w:rsid w:val="00520934"/>
    <w:rsid w:val="0053001F"/>
    <w:rsid w:val="005336FD"/>
    <w:rsid w:val="00540C95"/>
    <w:rsid w:val="00542823"/>
    <w:rsid w:val="00547693"/>
    <w:rsid w:val="00551AA3"/>
    <w:rsid w:val="00551B1F"/>
    <w:rsid w:val="00576C6A"/>
    <w:rsid w:val="0058451D"/>
    <w:rsid w:val="005920C0"/>
    <w:rsid w:val="005A1154"/>
    <w:rsid w:val="005C3050"/>
    <w:rsid w:val="005D5367"/>
    <w:rsid w:val="005D662A"/>
    <w:rsid w:val="005F0962"/>
    <w:rsid w:val="005F7A97"/>
    <w:rsid w:val="00603CB5"/>
    <w:rsid w:val="00620AB6"/>
    <w:rsid w:val="00627832"/>
    <w:rsid w:val="006312A5"/>
    <w:rsid w:val="006344FD"/>
    <w:rsid w:val="00634E4C"/>
    <w:rsid w:val="00636A8C"/>
    <w:rsid w:val="00654D63"/>
    <w:rsid w:val="006552BC"/>
    <w:rsid w:val="00656CC9"/>
    <w:rsid w:val="00663398"/>
    <w:rsid w:val="006734C0"/>
    <w:rsid w:val="0069015E"/>
    <w:rsid w:val="00697FD3"/>
    <w:rsid w:val="006A23B3"/>
    <w:rsid w:val="006B302D"/>
    <w:rsid w:val="006B738F"/>
    <w:rsid w:val="006C2E2C"/>
    <w:rsid w:val="006C555E"/>
    <w:rsid w:val="006D77BE"/>
    <w:rsid w:val="0071675C"/>
    <w:rsid w:val="00732F99"/>
    <w:rsid w:val="0073357E"/>
    <w:rsid w:val="00742F35"/>
    <w:rsid w:val="0074664D"/>
    <w:rsid w:val="00752EE4"/>
    <w:rsid w:val="00756768"/>
    <w:rsid w:val="00772381"/>
    <w:rsid w:val="00773FC0"/>
    <w:rsid w:val="00774E80"/>
    <w:rsid w:val="00776B21"/>
    <w:rsid w:val="00784B7B"/>
    <w:rsid w:val="00794BFA"/>
    <w:rsid w:val="007A0FA8"/>
    <w:rsid w:val="007B70D4"/>
    <w:rsid w:val="007C0360"/>
    <w:rsid w:val="007E5FBC"/>
    <w:rsid w:val="007E6BCD"/>
    <w:rsid w:val="007F0A0F"/>
    <w:rsid w:val="0080438A"/>
    <w:rsid w:val="00804851"/>
    <w:rsid w:val="00814BAC"/>
    <w:rsid w:val="008172E9"/>
    <w:rsid w:val="00820C29"/>
    <w:rsid w:val="00821BDE"/>
    <w:rsid w:val="00822838"/>
    <w:rsid w:val="008329D0"/>
    <w:rsid w:val="0083795B"/>
    <w:rsid w:val="00862DD1"/>
    <w:rsid w:val="008809FC"/>
    <w:rsid w:val="008845AD"/>
    <w:rsid w:val="008A68D1"/>
    <w:rsid w:val="008B49EB"/>
    <w:rsid w:val="008C77CD"/>
    <w:rsid w:val="008D0E98"/>
    <w:rsid w:val="008D5F8C"/>
    <w:rsid w:val="008D6BDF"/>
    <w:rsid w:val="008D76F7"/>
    <w:rsid w:val="008E03F8"/>
    <w:rsid w:val="008E040F"/>
    <w:rsid w:val="00911734"/>
    <w:rsid w:val="00914231"/>
    <w:rsid w:val="00922AFE"/>
    <w:rsid w:val="00936960"/>
    <w:rsid w:val="009452A8"/>
    <w:rsid w:val="009601EB"/>
    <w:rsid w:val="0097159D"/>
    <w:rsid w:val="00985DA4"/>
    <w:rsid w:val="00995AD2"/>
    <w:rsid w:val="009A060F"/>
    <w:rsid w:val="009C23BA"/>
    <w:rsid w:val="009C7830"/>
    <w:rsid w:val="009D0A9E"/>
    <w:rsid w:val="009E19E6"/>
    <w:rsid w:val="009F0DE9"/>
    <w:rsid w:val="009F5465"/>
    <w:rsid w:val="00A04B83"/>
    <w:rsid w:val="00A13906"/>
    <w:rsid w:val="00A17E2D"/>
    <w:rsid w:val="00A43FBD"/>
    <w:rsid w:val="00A508D8"/>
    <w:rsid w:val="00A77EE2"/>
    <w:rsid w:val="00A91E2D"/>
    <w:rsid w:val="00A9557D"/>
    <w:rsid w:val="00AA26BB"/>
    <w:rsid w:val="00AA742B"/>
    <w:rsid w:val="00AB4A31"/>
    <w:rsid w:val="00AC08C4"/>
    <w:rsid w:val="00AC17FE"/>
    <w:rsid w:val="00AC43EF"/>
    <w:rsid w:val="00AD65F4"/>
    <w:rsid w:val="00AE183C"/>
    <w:rsid w:val="00AE27B5"/>
    <w:rsid w:val="00B05351"/>
    <w:rsid w:val="00B16031"/>
    <w:rsid w:val="00B2114D"/>
    <w:rsid w:val="00B22FAB"/>
    <w:rsid w:val="00B238F0"/>
    <w:rsid w:val="00B72B02"/>
    <w:rsid w:val="00B74610"/>
    <w:rsid w:val="00B7631F"/>
    <w:rsid w:val="00B801FC"/>
    <w:rsid w:val="00B829B5"/>
    <w:rsid w:val="00B908B3"/>
    <w:rsid w:val="00B92CB3"/>
    <w:rsid w:val="00BB0EB2"/>
    <w:rsid w:val="00BB53F1"/>
    <w:rsid w:val="00BB6120"/>
    <w:rsid w:val="00BC0F42"/>
    <w:rsid w:val="00BD3AF5"/>
    <w:rsid w:val="00BD7959"/>
    <w:rsid w:val="00BE1D70"/>
    <w:rsid w:val="00BE41AC"/>
    <w:rsid w:val="00C00100"/>
    <w:rsid w:val="00C06D67"/>
    <w:rsid w:val="00C07A28"/>
    <w:rsid w:val="00C21714"/>
    <w:rsid w:val="00C243C2"/>
    <w:rsid w:val="00C377EC"/>
    <w:rsid w:val="00C429EC"/>
    <w:rsid w:val="00C52221"/>
    <w:rsid w:val="00C5334C"/>
    <w:rsid w:val="00C652BF"/>
    <w:rsid w:val="00C6563A"/>
    <w:rsid w:val="00C71199"/>
    <w:rsid w:val="00C72728"/>
    <w:rsid w:val="00C754DA"/>
    <w:rsid w:val="00C832AE"/>
    <w:rsid w:val="00C92F66"/>
    <w:rsid w:val="00C97704"/>
    <w:rsid w:val="00CA1069"/>
    <w:rsid w:val="00CB1336"/>
    <w:rsid w:val="00CB271A"/>
    <w:rsid w:val="00CB2D3E"/>
    <w:rsid w:val="00CC23B8"/>
    <w:rsid w:val="00CC3FAD"/>
    <w:rsid w:val="00CE1A8F"/>
    <w:rsid w:val="00CF21B2"/>
    <w:rsid w:val="00CF6907"/>
    <w:rsid w:val="00D30A34"/>
    <w:rsid w:val="00D340DB"/>
    <w:rsid w:val="00D35AF1"/>
    <w:rsid w:val="00D4040F"/>
    <w:rsid w:val="00D41798"/>
    <w:rsid w:val="00D52460"/>
    <w:rsid w:val="00D607BD"/>
    <w:rsid w:val="00D95B88"/>
    <w:rsid w:val="00DA04E1"/>
    <w:rsid w:val="00DB1245"/>
    <w:rsid w:val="00DB3766"/>
    <w:rsid w:val="00DB4D97"/>
    <w:rsid w:val="00DC0F68"/>
    <w:rsid w:val="00DC358B"/>
    <w:rsid w:val="00DC5F02"/>
    <w:rsid w:val="00DD204D"/>
    <w:rsid w:val="00DD44FA"/>
    <w:rsid w:val="00DD50E3"/>
    <w:rsid w:val="00DE3070"/>
    <w:rsid w:val="00DE64A2"/>
    <w:rsid w:val="00DE7991"/>
    <w:rsid w:val="00DE7DE0"/>
    <w:rsid w:val="00E161BB"/>
    <w:rsid w:val="00E179C1"/>
    <w:rsid w:val="00E274EC"/>
    <w:rsid w:val="00E44006"/>
    <w:rsid w:val="00E47129"/>
    <w:rsid w:val="00E65119"/>
    <w:rsid w:val="00E705F9"/>
    <w:rsid w:val="00E716CA"/>
    <w:rsid w:val="00E82F5B"/>
    <w:rsid w:val="00EA6FC5"/>
    <w:rsid w:val="00EA7BE2"/>
    <w:rsid w:val="00ED4ECD"/>
    <w:rsid w:val="00EE2FDC"/>
    <w:rsid w:val="00EF1E1B"/>
    <w:rsid w:val="00EF6FDA"/>
    <w:rsid w:val="00F01203"/>
    <w:rsid w:val="00F021F7"/>
    <w:rsid w:val="00F04C36"/>
    <w:rsid w:val="00F57124"/>
    <w:rsid w:val="00F5783B"/>
    <w:rsid w:val="00F64C9B"/>
    <w:rsid w:val="00F71320"/>
    <w:rsid w:val="00F7215B"/>
    <w:rsid w:val="00F7403F"/>
    <w:rsid w:val="00F83834"/>
    <w:rsid w:val="00F9536A"/>
    <w:rsid w:val="00FA46FF"/>
    <w:rsid w:val="00FB6ABC"/>
    <w:rsid w:val="00FC0D1D"/>
    <w:rsid w:val="00FC49B0"/>
    <w:rsid w:val="00FD0EEA"/>
    <w:rsid w:val="00FF2DA3"/>
    <w:rsid w:val="00FF3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F2690"/>
  <w15:docId w15:val="{44C9899E-56C6-40AE-99F9-DDD59928B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B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6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6FD"/>
  </w:style>
  <w:style w:type="paragraph" w:styleId="Footer">
    <w:name w:val="footer"/>
    <w:basedOn w:val="Normal"/>
    <w:link w:val="FooterChar"/>
    <w:uiPriority w:val="99"/>
    <w:unhideWhenUsed/>
    <w:rsid w:val="005336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6FD"/>
  </w:style>
  <w:style w:type="character" w:styleId="Hyperlink">
    <w:name w:val="Hyperlink"/>
    <w:basedOn w:val="DefaultParagraphFont"/>
    <w:uiPriority w:val="99"/>
    <w:unhideWhenUsed/>
    <w:rsid w:val="00E44006"/>
    <w:rPr>
      <w:color w:val="0563C1" w:themeColor="hyperlink"/>
      <w:u w:val="single"/>
    </w:rPr>
  </w:style>
  <w:style w:type="paragraph" w:styleId="ListParagraph">
    <w:name w:val="List Paragraph"/>
    <w:basedOn w:val="Normal"/>
    <w:uiPriority w:val="34"/>
    <w:qFormat/>
    <w:rsid w:val="00133836"/>
    <w:pPr>
      <w:ind w:left="720"/>
      <w:contextualSpacing/>
    </w:pPr>
  </w:style>
  <w:style w:type="paragraph" w:styleId="NormalWeb">
    <w:name w:val="Normal (Web)"/>
    <w:basedOn w:val="Normal"/>
    <w:uiPriority w:val="99"/>
    <w:unhideWhenUsed/>
    <w:rsid w:val="00D35AF1"/>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D35A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9651560">
      <w:bodyDiv w:val="1"/>
      <w:marLeft w:val="0"/>
      <w:marRight w:val="0"/>
      <w:marTop w:val="0"/>
      <w:marBottom w:val="0"/>
      <w:divBdr>
        <w:top w:val="none" w:sz="0" w:space="0" w:color="auto"/>
        <w:left w:val="none" w:sz="0" w:space="0" w:color="auto"/>
        <w:bottom w:val="none" w:sz="0" w:space="0" w:color="auto"/>
        <w:right w:val="none" w:sz="0" w:space="0" w:color="auto"/>
      </w:divBdr>
    </w:div>
    <w:div w:id="679892731">
      <w:bodyDiv w:val="1"/>
      <w:marLeft w:val="0"/>
      <w:marRight w:val="0"/>
      <w:marTop w:val="0"/>
      <w:marBottom w:val="0"/>
      <w:divBdr>
        <w:top w:val="none" w:sz="0" w:space="0" w:color="auto"/>
        <w:left w:val="none" w:sz="0" w:space="0" w:color="auto"/>
        <w:bottom w:val="none" w:sz="0" w:space="0" w:color="auto"/>
        <w:right w:val="none" w:sz="0" w:space="0" w:color="auto"/>
      </w:divBdr>
      <w:divsChild>
        <w:div w:id="429473324">
          <w:marLeft w:val="0"/>
          <w:marRight w:val="0"/>
          <w:marTop w:val="0"/>
          <w:marBottom w:val="0"/>
          <w:divBdr>
            <w:top w:val="none" w:sz="0" w:space="0" w:color="auto"/>
            <w:left w:val="none" w:sz="0" w:space="0" w:color="auto"/>
            <w:bottom w:val="none" w:sz="0" w:space="0" w:color="auto"/>
            <w:right w:val="none" w:sz="0" w:space="0" w:color="auto"/>
          </w:divBdr>
        </w:div>
      </w:divsChild>
    </w:div>
    <w:div w:id="950090859">
      <w:bodyDiv w:val="1"/>
      <w:marLeft w:val="0"/>
      <w:marRight w:val="0"/>
      <w:marTop w:val="0"/>
      <w:marBottom w:val="0"/>
      <w:divBdr>
        <w:top w:val="none" w:sz="0" w:space="0" w:color="auto"/>
        <w:left w:val="none" w:sz="0" w:space="0" w:color="auto"/>
        <w:bottom w:val="none" w:sz="0" w:space="0" w:color="auto"/>
        <w:right w:val="none" w:sz="0" w:space="0" w:color="auto"/>
      </w:divBdr>
      <w:divsChild>
        <w:div w:id="479929388">
          <w:marLeft w:val="0"/>
          <w:marRight w:val="0"/>
          <w:marTop w:val="0"/>
          <w:marBottom w:val="0"/>
          <w:divBdr>
            <w:top w:val="none" w:sz="0" w:space="0" w:color="auto"/>
            <w:left w:val="none" w:sz="0" w:space="0" w:color="auto"/>
            <w:bottom w:val="none" w:sz="0" w:space="0" w:color="auto"/>
            <w:right w:val="none" w:sz="0" w:space="0" w:color="auto"/>
          </w:divBdr>
        </w:div>
      </w:divsChild>
    </w:div>
    <w:div w:id="1295135511">
      <w:bodyDiv w:val="1"/>
      <w:marLeft w:val="0"/>
      <w:marRight w:val="0"/>
      <w:marTop w:val="0"/>
      <w:marBottom w:val="0"/>
      <w:divBdr>
        <w:top w:val="none" w:sz="0" w:space="0" w:color="auto"/>
        <w:left w:val="none" w:sz="0" w:space="0" w:color="auto"/>
        <w:bottom w:val="none" w:sz="0" w:space="0" w:color="auto"/>
        <w:right w:val="none" w:sz="0" w:space="0" w:color="auto"/>
      </w:divBdr>
      <w:divsChild>
        <w:div w:id="886990493">
          <w:marLeft w:val="0"/>
          <w:marRight w:val="0"/>
          <w:marTop w:val="0"/>
          <w:marBottom w:val="0"/>
          <w:divBdr>
            <w:top w:val="none" w:sz="0" w:space="0" w:color="auto"/>
            <w:left w:val="none" w:sz="0" w:space="0" w:color="auto"/>
            <w:bottom w:val="none" w:sz="0" w:space="0" w:color="auto"/>
            <w:right w:val="none" w:sz="0" w:space="0" w:color="auto"/>
          </w:divBdr>
        </w:div>
      </w:divsChild>
    </w:div>
    <w:div w:id="1704743753">
      <w:bodyDiv w:val="1"/>
      <w:marLeft w:val="0"/>
      <w:marRight w:val="0"/>
      <w:marTop w:val="0"/>
      <w:marBottom w:val="0"/>
      <w:divBdr>
        <w:top w:val="none" w:sz="0" w:space="0" w:color="auto"/>
        <w:left w:val="none" w:sz="0" w:space="0" w:color="auto"/>
        <w:bottom w:val="none" w:sz="0" w:space="0" w:color="auto"/>
        <w:right w:val="none" w:sz="0" w:space="0" w:color="auto"/>
      </w:divBdr>
      <w:divsChild>
        <w:div w:id="531504930">
          <w:marLeft w:val="0"/>
          <w:marRight w:val="0"/>
          <w:marTop w:val="0"/>
          <w:marBottom w:val="0"/>
          <w:divBdr>
            <w:top w:val="none" w:sz="0" w:space="0" w:color="auto"/>
            <w:left w:val="none" w:sz="0" w:space="0" w:color="auto"/>
            <w:bottom w:val="none" w:sz="0" w:space="0" w:color="auto"/>
            <w:right w:val="none" w:sz="0" w:space="0" w:color="auto"/>
          </w:divBdr>
        </w:div>
      </w:divsChild>
    </w:div>
    <w:div w:id="1775176127">
      <w:bodyDiv w:val="1"/>
      <w:marLeft w:val="0"/>
      <w:marRight w:val="0"/>
      <w:marTop w:val="0"/>
      <w:marBottom w:val="0"/>
      <w:divBdr>
        <w:top w:val="none" w:sz="0" w:space="0" w:color="auto"/>
        <w:left w:val="none" w:sz="0" w:space="0" w:color="auto"/>
        <w:bottom w:val="none" w:sz="0" w:space="0" w:color="auto"/>
        <w:right w:val="none" w:sz="0" w:space="0" w:color="auto"/>
      </w:divBdr>
      <w:divsChild>
        <w:div w:id="18505590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2088</Words>
  <Characters>11904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JOSEPH</cp:lastModifiedBy>
  <cp:revision>2</cp:revision>
  <dcterms:created xsi:type="dcterms:W3CDTF">2020-11-01T19:09:00Z</dcterms:created>
  <dcterms:modified xsi:type="dcterms:W3CDTF">2020-11-01T19:09:00Z</dcterms:modified>
</cp:coreProperties>
</file>